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</w:t>
      </w:r>
    </w:p>
    <w:p>
      <w:pPr>
        <w:jc w:val="center"/>
      </w:pPr>
      <w:r>
        <w:t>Адрес электронной почты: HotLine@novaport.ru</w:t>
      </w:r>
    </w:p>
    <w:p>
      <w:pPr>
        <w:jc w:val="center"/>
      </w:pPr>
      <w:r>
        <w:t>Назначение: Заместителю Генерального директора по закупкам, контролю и специальным проектам развития</w:t>
      </w:r>
    </w:p>
    <w:p>
      <w:pPr>
        <w:jc w:val="center"/>
      </w:pPr>
      <w:r>
        <w:t>Телефон: +7 (4012) 610 – 506</w:t>
      </w:r>
    </w:p>
    <w:p>
      <w:pPr>
        <w:jc w:val="center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Правила проведения открытых конкурсных процедур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право заключения договора аренды (субаренды) недвижимого имущества на территории Международного аэропорта Чита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bookmarkStart w:id="0" w:name="_GoBack"/>
      <w:bookmarkEnd w:id="0"/>
    </w:p>
    <w:p>
      <w:pPr>
        <w:jc w:val="center"/>
        <w:rPr>
          <w:b/>
          <w:sz w:val="28"/>
          <w:szCs w:val="28"/>
        </w:rPr>
      </w:pPr>
    </w:p>
    <w:p>
      <w:pPr>
        <w:pStyle w:val="16"/>
        <w:numPr>
          <w:ilvl w:val="0"/>
          <w:numId w:val="1"/>
        </w:numPr>
        <w:ind w:left="426" w:firstLine="0"/>
        <w:rPr>
          <w:b/>
        </w:rPr>
      </w:pPr>
      <w:r>
        <w:rPr>
          <w:b/>
        </w:rPr>
        <w:t>Общие сведения</w:t>
      </w:r>
    </w:p>
    <w:p>
      <w:pPr>
        <w:pStyle w:val="16"/>
        <w:ind w:left="360"/>
        <w:rPr>
          <w:b/>
        </w:rPr>
      </w:pPr>
    </w:p>
    <w:p>
      <w:pPr>
        <w:pStyle w:val="16"/>
        <w:numPr>
          <w:ilvl w:val="1"/>
          <w:numId w:val="2"/>
        </w:numPr>
        <w:ind w:hanging="654"/>
        <w:jc w:val="both"/>
        <w:rPr>
          <w:b/>
        </w:rPr>
      </w:pPr>
      <w:r>
        <w:rPr>
          <w:b/>
        </w:rPr>
        <w:t>Организатор запроса предложений на право заключения договора субаренды:</w:t>
      </w:r>
      <w:r>
        <w:t xml:space="preserve"> </w:t>
      </w:r>
    </w:p>
    <w:p>
      <w:pPr>
        <w:pStyle w:val="16"/>
        <w:ind w:left="1134"/>
        <w:jc w:val="both"/>
        <w:rPr>
          <w:b/>
        </w:rPr>
      </w:pPr>
      <w:r>
        <w:t>Общество с ограниченной ответственностью «НОВАПОРТ Трейдинг» филиал в г. Чите</w:t>
      </w:r>
    </w:p>
    <w:p>
      <w:pPr>
        <w:spacing w:line="240" w:lineRule="atLeast"/>
        <w:ind w:left="1134"/>
      </w:pPr>
      <w:r>
        <w:t>Место нахождения: Российская Федерация, Забайкальский край город Чита улица   Звездная 17 кабинет 30</w:t>
      </w:r>
    </w:p>
    <w:p>
      <w:pPr>
        <w:pStyle w:val="16"/>
        <w:autoSpaceDE w:val="0"/>
        <w:autoSpaceDN w:val="0"/>
        <w:adjustRightInd w:val="0"/>
        <w:ind w:left="1134"/>
        <w:jc w:val="both"/>
        <w:rPr>
          <w:b/>
        </w:rPr>
      </w:pPr>
      <w:r>
        <w:t>Контактные лица</w:t>
      </w:r>
      <w:r>
        <w:rPr>
          <w:b/>
        </w:rPr>
        <w:t>:</w:t>
      </w:r>
    </w:p>
    <w:p>
      <w:pPr>
        <w:autoSpaceDE w:val="0"/>
        <w:autoSpaceDN w:val="0"/>
        <w:adjustRightInd w:val="0"/>
        <w:spacing w:line="276" w:lineRule="auto"/>
        <w:ind w:left="1134"/>
        <w:jc w:val="both"/>
      </w:pPr>
      <w:r>
        <w:t xml:space="preserve">Директор филиала - Вершинина Людмила Юрьевна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r>
        <w:fldChar w:fldCharType="begin"/>
      </w:r>
      <w:r>
        <w:instrText xml:space="preserve"> HYPERLINK "mailto:nad@aerochita.ru" </w:instrText>
      </w:r>
      <w:r>
        <w:fldChar w:fldCharType="separate"/>
      </w:r>
      <w:r>
        <w:rPr>
          <w:rStyle w:val="7"/>
          <w:u w:val="none"/>
          <w:lang w:val="en-US"/>
        </w:rPr>
        <w:t>nad</w:t>
      </w:r>
      <w:r>
        <w:rPr>
          <w:rStyle w:val="7"/>
          <w:u w:val="none"/>
        </w:rPr>
        <w:t>@</w:t>
      </w:r>
      <w:r>
        <w:rPr>
          <w:rStyle w:val="7"/>
          <w:u w:val="none"/>
          <w:lang w:val="en-US"/>
        </w:rPr>
        <w:t>aerochita</w:t>
      </w:r>
      <w:r>
        <w:rPr>
          <w:rStyle w:val="7"/>
          <w:u w:val="none"/>
        </w:rPr>
        <w:t>.</w:t>
      </w:r>
      <w:r>
        <w:rPr>
          <w:rStyle w:val="7"/>
          <w:u w:val="none"/>
          <w:lang w:val="en-US"/>
        </w:rPr>
        <w:t>ru</w:t>
      </w:r>
      <w:r>
        <w:rPr>
          <w:rStyle w:val="7"/>
          <w:u w:val="none"/>
          <w:lang w:val="en-US"/>
        </w:rPr>
        <w:fldChar w:fldCharType="end"/>
      </w:r>
      <w:r>
        <w:t xml:space="preserve"> тел. </w:t>
      </w:r>
    </w:p>
    <w:p>
      <w:pPr>
        <w:autoSpaceDE w:val="0"/>
        <w:autoSpaceDN w:val="0"/>
        <w:adjustRightInd w:val="0"/>
        <w:spacing w:line="276" w:lineRule="auto"/>
        <w:ind w:left="1134"/>
        <w:jc w:val="both"/>
      </w:pPr>
      <w:r>
        <w:t xml:space="preserve">8 (3022) 338-418, 8-929-480-96-67  </w:t>
      </w:r>
    </w:p>
    <w:p>
      <w:pPr>
        <w:pStyle w:val="16"/>
        <w:numPr>
          <w:ilvl w:val="1"/>
          <w:numId w:val="2"/>
        </w:numPr>
        <w:ind w:hanging="654"/>
        <w:jc w:val="both"/>
      </w:pPr>
      <w:r>
        <w:rPr>
          <w:b/>
        </w:rPr>
        <w:t>Форма отбора:</w:t>
      </w:r>
      <w:r>
        <w:t xml:space="preserve"> запрос ценовых предложений (далее «Запрос предложений»).</w:t>
      </w:r>
    </w:p>
    <w:p>
      <w:pPr>
        <w:pStyle w:val="16"/>
        <w:ind w:left="1080"/>
        <w:jc w:val="both"/>
      </w:pPr>
    </w:p>
    <w:p>
      <w:pPr>
        <w:pStyle w:val="16"/>
        <w:numPr>
          <w:ilvl w:val="1"/>
          <w:numId w:val="2"/>
        </w:numPr>
        <w:ind w:hanging="654"/>
        <w:jc w:val="both"/>
      </w:pPr>
      <w:r>
        <w:rPr>
          <w:b/>
        </w:rPr>
        <w:t>Предмет запроса:</w:t>
      </w:r>
      <w:r>
        <w:t xml:space="preserve"> право на заключение договора аренды недвижимого имущества с организатором запроса предложений на территории Международного аэропорта Чита</w:t>
      </w:r>
      <w:r>
        <w:rPr>
          <w:rFonts w:hint="default"/>
          <w:lang w:val="ru-RU"/>
        </w:rPr>
        <w:t>.</w:t>
      </w:r>
    </w:p>
    <w:p>
      <w:pPr>
        <w:jc w:val="both"/>
      </w:pPr>
    </w:p>
    <w:p>
      <w:pPr>
        <w:pStyle w:val="16"/>
        <w:numPr>
          <w:ilvl w:val="1"/>
          <w:numId w:val="2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>
        <w:rPr>
          <w:b/>
        </w:rPr>
        <w:t>с требованиями настоящих правил и Презентации (далее по тексту «Документация»)</w:t>
      </w:r>
      <w:r>
        <w:t xml:space="preserve">, размещенных на электронной торговой площадке </w:t>
      </w:r>
      <w:r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Международного аэропорта Чита</w:t>
      </w:r>
      <w:r>
        <w:rPr>
          <w:rFonts w:hint="default"/>
          <w:lang w:val="ru-RU"/>
        </w:rPr>
        <w:t>.</w:t>
      </w:r>
    </w:p>
    <w:p>
      <w:pPr>
        <w:jc w:val="both"/>
      </w:pPr>
    </w:p>
    <w:p>
      <w:pPr>
        <w:pStyle w:val="16"/>
        <w:numPr>
          <w:ilvl w:val="1"/>
          <w:numId w:val="2"/>
        </w:numPr>
        <w:ind w:hanging="654"/>
        <w:jc w:val="both"/>
      </w:pPr>
      <w:r>
        <w:t>Организатор запроса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без образования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результатам Запроса предложений.</w:t>
      </w:r>
    </w:p>
    <w:p>
      <w:pPr>
        <w:jc w:val="both"/>
      </w:pPr>
    </w:p>
    <w:p>
      <w:pPr>
        <w:pStyle w:val="16"/>
        <w:numPr>
          <w:ilvl w:val="1"/>
          <w:numId w:val="2"/>
        </w:numPr>
        <w:ind w:hanging="654"/>
        <w:jc w:val="both"/>
      </w:pPr>
      <w:r>
        <w:t>С момента размещения запроса предложений на ЭТП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электронной почте, обратиться к Организатору с просьбой о разъяснении информации, содержащейся в Документации.</w:t>
      </w:r>
    </w:p>
    <w:p>
      <w:pPr>
        <w:pStyle w:val="16"/>
        <w:ind w:left="1080"/>
        <w:jc w:val="both"/>
      </w:pPr>
    </w:p>
    <w:p>
      <w:pPr>
        <w:pStyle w:val="16"/>
        <w:numPr>
          <w:ilvl w:val="0"/>
          <w:numId w:val="2"/>
        </w:numPr>
        <w:jc w:val="both"/>
        <w:rPr>
          <w:b/>
        </w:rPr>
      </w:pPr>
      <w:r>
        <w:rPr>
          <w:b/>
        </w:rPr>
        <w:t>Порядок подачи заявок на участие в запросе предложений</w:t>
      </w:r>
    </w:p>
    <w:p>
      <w:pPr>
        <w:pStyle w:val="16"/>
        <w:jc w:val="both"/>
        <w:rPr>
          <w:b/>
        </w:rPr>
      </w:pPr>
    </w:p>
    <w:p>
      <w:pPr>
        <w:pStyle w:val="16"/>
        <w:numPr>
          <w:ilvl w:val="1"/>
          <w:numId w:val="2"/>
        </w:numPr>
        <w:ind w:hanging="654"/>
        <w:jc w:val="both"/>
        <w:rPr>
          <w:b/>
        </w:rPr>
      </w:pPr>
      <w:r>
        <w:t xml:space="preserve">Для участия в конкурсной процедуре </w:t>
      </w:r>
      <w:r>
        <w:rPr>
          <w:color w:val="000000"/>
        </w:rPr>
        <w:t xml:space="preserve">регистрируется на сайте </w:t>
      </w:r>
      <w:r>
        <w:fldChar w:fldCharType="begin"/>
      </w:r>
      <w:r>
        <w:instrText xml:space="preserve"> HYPERLINK "https://www.zakupki.ru" </w:instrText>
      </w:r>
      <w:r>
        <w:fldChar w:fldCharType="separate"/>
      </w:r>
      <w:r>
        <w:rPr>
          <w:color w:val="000000"/>
        </w:rPr>
        <w:t>https://www.zakupki.ru</w:t>
      </w:r>
      <w:r>
        <w:rPr>
          <w:color w:val="000000"/>
        </w:rPr>
        <w:fldChar w:fldCharType="end"/>
      </w:r>
      <w:r>
        <w:rPr>
          <w:color w:val="000000"/>
        </w:rPr>
        <w:t xml:space="preserve"> (далее ЭТП) как ПОСТАВЩИК (регистрация бесплатная, ЭЦП не требуется, платы в адрес ЭТП за участие нет).</w:t>
      </w:r>
    </w:p>
    <w:p>
      <w:pPr>
        <w:pStyle w:val="16"/>
        <w:ind w:left="1080" w:hanging="654"/>
        <w:jc w:val="both"/>
        <w:rPr>
          <w:b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b/>
        </w:rPr>
      </w:pPr>
      <w:r>
        <w:rPr>
          <w:b/>
          <w:color w:val="000000"/>
        </w:rPr>
        <w:t>Участник готовит заявку на участие в соответствии с формами документов, установленными Приложением к настоящей Документации, и подает заявку через ЭТП на запрос предложений с заверением пересылаемых документов уполномоченного лица потенциального участника запроса предложений. Использование факсимиле в документах, входящих в заявку, не допускается.</w:t>
      </w:r>
    </w:p>
    <w:p>
      <w:pPr>
        <w:jc w:val="both"/>
        <w:rPr>
          <w:b/>
        </w:rPr>
      </w:pPr>
    </w:p>
    <w:p>
      <w:pPr>
        <w:pStyle w:val="16"/>
        <w:numPr>
          <w:ilvl w:val="1"/>
          <w:numId w:val="2"/>
        </w:numPr>
        <w:ind w:hanging="654"/>
        <w:jc w:val="both"/>
        <w:rPr>
          <w:color w:val="000000"/>
        </w:rPr>
      </w:pPr>
      <w:r>
        <w:rPr>
          <w:color w:val="000000"/>
        </w:rPr>
        <w:t>При описании условий и предложений участник должен применять общепринятые обозначения и наименования. Сведения, которые содержатся в заявке, не должны допускать двусмысленных толкований.</w:t>
      </w:r>
      <w:r>
        <w:t xml:space="preserve"> </w:t>
      </w:r>
      <w:r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>
      <w:pPr>
        <w:pStyle w:val="16"/>
        <w:ind w:hanging="654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jc w:val="both"/>
        <w:rPr>
          <w:color w:val="000000"/>
        </w:rPr>
      </w:pPr>
      <w:r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>
      <w:pPr>
        <w:ind w:hanging="654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Заявка на участие должна быть заверена печатью участника и подписана участником или лицом, уполномоченным таким участником. </w:t>
      </w:r>
      <w:r>
        <w:t xml:space="preserve">Подаваемая заявка, должна содержать отсканированный вид заполненной формы заявки, приведенной в настоящих Правилах, и подписана участником запроса предложений или лицом, уполномоченным таким участником. Документы, входящие в состав заявки, </w:t>
      </w:r>
      <w:r>
        <w:rPr>
          <w:iCs/>
        </w:rPr>
        <w:t xml:space="preserve">должны иметь один из распространенных форматов документов: с расширением (*.doc), (*.docx), (*.xls), (*.xlsx), (*.txt), (*.pdf), (*.jpg) и т.д. </w:t>
      </w:r>
      <w:r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>
      <w:pPr>
        <w:tabs>
          <w:tab w:val="left" w:pos="1134"/>
        </w:tabs>
        <w:ind w:hanging="654"/>
        <w:jc w:val="both"/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jc w:val="both"/>
      </w:pPr>
      <w:r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 Документации.</w:t>
      </w:r>
    </w:p>
    <w:p>
      <w:pPr>
        <w:pStyle w:val="16"/>
        <w:tabs>
          <w:tab w:val="left" w:pos="851"/>
        </w:tabs>
        <w:ind w:left="1077" w:hanging="654"/>
        <w:jc w:val="both"/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jc w:val="both"/>
      </w:pPr>
      <w:r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>
      <w:pPr>
        <w:pStyle w:val="16"/>
        <w:ind w:hanging="654"/>
      </w:pPr>
    </w:p>
    <w:p>
      <w:pPr>
        <w:pStyle w:val="16"/>
        <w:tabs>
          <w:tab w:val="left" w:pos="1134"/>
        </w:tabs>
        <w:ind w:left="1077" w:hanging="654"/>
        <w:jc w:val="both"/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jc w:val="both"/>
        <w:rPr>
          <w:color w:val="000000"/>
        </w:rPr>
      </w:pPr>
      <w:r>
        <w:t xml:space="preserve">Уведомление об изменении/отзыве заявки должно быть скреплено печатью, в случае, если наличие печати предусмотрено учредительными документами Участника и заверено подписью уполномоченного лица (для юридических лиц) и собственноручно подписано физическим лицом-участником. </w:t>
      </w:r>
    </w:p>
    <w:p>
      <w:pPr>
        <w:pStyle w:val="16"/>
        <w:tabs>
          <w:tab w:val="left" w:pos="1134"/>
        </w:tabs>
        <w:ind w:left="1077" w:hanging="654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jc w:val="both"/>
        <w:rPr>
          <w:color w:val="000000"/>
        </w:rPr>
      </w:pPr>
      <w:r>
        <w:t>После окончания срока подачи заявок изменение/отзыв заявок не допускается.</w:t>
      </w:r>
    </w:p>
    <w:p>
      <w:pPr>
        <w:tabs>
          <w:tab w:val="left" w:pos="1134"/>
        </w:tabs>
        <w:ind w:hanging="654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>
        <w:rPr>
          <w:color w:val="000000"/>
        </w:rPr>
        <w:t>Заявитель, подавший заявку на участие в Запросе, несет обязательства по заключению договора субаренды на условиях, изложенных в его заявке на участие в Запросе и по цене, предложенной им в ходе проведения Запроса или по итогам процедуры переторжки.</w:t>
      </w:r>
    </w:p>
    <w:p>
      <w:pPr>
        <w:pStyle w:val="16"/>
        <w:rPr>
          <w:color w:val="000000"/>
        </w:rPr>
      </w:pPr>
    </w:p>
    <w:p>
      <w:pPr>
        <w:pStyle w:val="16"/>
        <w:numPr>
          <w:ilvl w:val="1"/>
          <w:numId w:val="2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>
        <w:rPr>
          <w:color w:val="000000"/>
        </w:rPr>
        <w:t>При необходимости и по согласованию Сторон, победителю конкурса, при заключении договора аренды могут быть предоставлены арендные каникулы на время проведения работ по запуску нового объекта торговли или организации/реконфигурации конструкции торгового помещения.</w:t>
      </w:r>
    </w:p>
    <w:p>
      <w:pPr>
        <w:pStyle w:val="16"/>
        <w:tabs>
          <w:tab w:val="left" w:pos="1134"/>
        </w:tabs>
        <w:contextualSpacing w:val="0"/>
        <w:jc w:val="both"/>
        <w:rPr>
          <w:color w:val="000000"/>
        </w:rPr>
      </w:pPr>
    </w:p>
    <w:p>
      <w:pPr>
        <w:pStyle w:val="16"/>
        <w:numPr>
          <w:ilvl w:val="0"/>
          <w:numId w:val="2"/>
        </w:numPr>
        <w:contextualSpacing w:val="0"/>
        <w:jc w:val="both"/>
        <w:rPr>
          <w:b/>
          <w:color w:val="000000"/>
        </w:rPr>
      </w:pPr>
      <w:r>
        <w:rPr>
          <w:b/>
          <w:color w:val="000000"/>
        </w:rPr>
        <w:t>Обеспечение заявки</w:t>
      </w:r>
    </w:p>
    <w:p>
      <w:pPr>
        <w:pStyle w:val="16"/>
        <w:contextualSpacing w:val="0"/>
        <w:jc w:val="both"/>
        <w:rPr>
          <w:b/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Для участия в Запросе предложений Участник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комиссией, как не соответствующая требованиям Документации, что влечет за собой непризнание Заявителя Участником Запроса предложений. </w:t>
      </w:r>
    </w:p>
    <w:p>
      <w:pPr>
        <w:pStyle w:val="16"/>
        <w:ind w:left="1080"/>
        <w:contextualSpacing w:val="0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>
      <w:pPr>
        <w:pStyle w:val="16"/>
        <w:ind w:left="1080"/>
        <w:contextualSpacing w:val="0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соответствующими требованиям, изложенным в Документации. </w:t>
      </w:r>
    </w:p>
    <w:p>
      <w:pPr>
        <w:pStyle w:val="16"/>
        <w:ind w:left="1080"/>
        <w:contextualSpacing w:val="0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>
      <w:pPr>
        <w:pStyle w:val="16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Внесенная сумма обеспечения заявки не возвращается в случае, если Участник конкурсной процедуры, признанный победителем Запроса предложений, уклонится/откажется от заключения в установленный срок договора аренды. </w:t>
      </w:r>
    </w:p>
    <w:p>
      <w:pPr>
        <w:pStyle w:val="16"/>
        <w:ind w:left="1080"/>
        <w:contextualSpacing w:val="0"/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Обеспечение предложений перечисляется по следующим реквизитам: </w:t>
      </w:r>
    </w:p>
    <w:tbl>
      <w:tblPr>
        <w:tblStyle w:val="4"/>
        <w:tblW w:w="9456" w:type="dxa"/>
        <w:tblInd w:w="5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9"/>
        <w:gridCol w:w="5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544 895 0149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753 643 001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115 547 601 4715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9456" w:type="dxa"/>
            <w:gridSpan w:val="2"/>
            <w:shd w:val="clear" w:color="auto" w:fill="auto"/>
          </w:tcPr>
          <w:p>
            <w:pPr>
              <w:ind w:left="958" w:leftChars="199" w:hanging="480" w:hangingChars="2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40702810274000000595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к/счет</w:t>
            </w:r>
          </w:p>
        </w:tc>
        <w:tc>
          <w:tcPr>
            <w:tcW w:w="5707" w:type="dxa"/>
            <w:shd w:val="clear" w:color="auto" w:fill="auto"/>
          </w:tcPr>
          <w:p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3010 1810 5000 0000 0637 в отделении Чита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770 708 3893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753 602 002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047 601 637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092 82 603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102 770 013 2195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банка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672000, г. Чита, ул. Ленина, д.55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749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707" w:type="dxa"/>
            <w:shd w:val="clear" w:color="auto" w:fill="auto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>
      <w:pPr>
        <w:ind w:left="993"/>
        <w:jc w:val="both"/>
        <w:rPr>
          <w:color w:val="000000"/>
        </w:rPr>
      </w:pPr>
    </w:p>
    <w:p>
      <w:pPr>
        <w:ind w:left="993"/>
        <w:jc w:val="both"/>
      </w:pPr>
      <w:r>
        <w:rPr>
          <w:color w:val="000000"/>
        </w:rPr>
        <w:t xml:space="preserve">Обеспечение должно отвечать следующим требованиям: </w:t>
      </w:r>
    </w:p>
    <w:p>
      <w:pPr>
        <w:pStyle w:val="16"/>
        <w:numPr>
          <w:ilvl w:val="0"/>
          <w:numId w:val="3"/>
        </w:numPr>
        <w:ind w:left="1560" w:hanging="284"/>
        <w:contextualSpacing w:val="0"/>
        <w:jc w:val="both"/>
      </w:pPr>
      <w:r>
        <w:t xml:space="preserve">в качестве обеспечения используются только денежные средства; </w:t>
      </w:r>
    </w:p>
    <w:p>
      <w:pPr>
        <w:pStyle w:val="16"/>
        <w:numPr>
          <w:ilvl w:val="0"/>
          <w:numId w:val="3"/>
        </w:numPr>
        <w:ind w:left="1560" w:hanging="284"/>
        <w:contextualSpacing w:val="0"/>
        <w:jc w:val="both"/>
      </w:pPr>
      <w:r>
        <w:t>в 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«Банк-клиент», то должна быть приложена выписка из банка, подтверждающая факт перевода денежных средств;</w:t>
      </w:r>
    </w:p>
    <w:p>
      <w:pPr>
        <w:pStyle w:val="16"/>
        <w:numPr>
          <w:ilvl w:val="0"/>
          <w:numId w:val="3"/>
        </w:numPr>
        <w:ind w:left="1560" w:hanging="284"/>
        <w:contextualSpacing w:val="0"/>
        <w:jc w:val="both"/>
      </w:pPr>
      <w:r>
        <w:t xml:space="preserve">указанный документ, включается в пакет с Заявкой на участие в Запросе предложений. Копия документа направляется контактным лицам Организатора в электронной или факсимильной форме. </w:t>
      </w:r>
    </w:p>
    <w:p>
      <w:pPr>
        <w:pStyle w:val="16"/>
        <w:ind w:left="1080"/>
        <w:contextualSpacing w:val="0"/>
        <w:jc w:val="both"/>
        <w:rPr>
          <w:color w:val="000000"/>
        </w:rPr>
      </w:pPr>
    </w:p>
    <w:p>
      <w:pPr>
        <w:pStyle w:val="16"/>
        <w:numPr>
          <w:ilvl w:val="0"/>
          <w:numId w:val="2"/>
        </w:numPr>
        <w:contextualSpacing w:val="0"/>
        <w:jc w:val="both"/>
        <w:rPr>
          <w:b/>
        </w:rPr>
      </w:pPr>
      <w:r>
        <w:rPr>
          <w:b/>
          <w:color w:val="000000"/>
        </w:rPr>
        <w:t>Порядок рассмотрения и оценки заявок в запросе предложений.</w:t>
      </w:r>
      <w:r>
        <w:rPr>
          <w:b/>
        </w:rPr>
        <w:t xml:space="preserve"> Процедура переторжки</w:t>
      </w:r>
    </w:p>
    <w:p>
      <w:pPr>
        <w:pStyle w:val="16"/>
        <w:contextualSpacing w:val="0"/>
        <w:jc w:val="both"/>
        <w:rPr>
          <w:b/>
        </w:rPr>
      </w:pPr>
    </w:p>
    <w:p>
      <w:pPr>
        <w:pStyle w:val="16"/>
        <w:numPr>
          <w:ilvl w:val="1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Срок для рассмотрения поступивших заявок на их соответствие требованиям, установленным Документацией, оценки и сопоставления заявок согласно критериям, не может превышать 10 рабочих дней со дня окончания срока подачи заявок. </w:t>
      </w:r>
      <w:r>
        <w:t>Организатор</w:t>
      </w:r>
      <w:r>
        <w:rPr>
          <w:color w:val="000000"/>
        </w:rPr>
        <w:t xml:space="preserve"> отклоняет заявки, если они не соответствуют установленным требованиям. Организатор вправе отказать Участнику запроса предложений без объяснения причин. </w:t>
      </w:r>
    </w:p>
    <w:p>
      <w:pPr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>По истечении срока для подачи заявок организатор осуществляет «вскрытие» поданных заявок и принимает решение о допуске участников, после чего принимает решение о проведении процедуры переторжки.</w:t>
      </w:r>
    </w:p>
    <w:p>
      <w:pPr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организатором. </w:t>
      </w:r>
    </w:p>
    <w:p>
      <w:pPr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>Победителем в проведении запроса предложений признается участник, предложивший наибольшую цену договора по итогам проведения процедуры переторжки, заявка которого наиболее полно соответствует потребностям Организатора, определенным в соответствии с критериями.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имеющий наиболее высокий бал при оценке по критерию опыт работы участника.</w:t>
      </w:r>
    </w:p>
    <w:p>
      <w:pPr>
        <w:jc w:val="both"/>
        <w:rPr>
          <w:color w:val="000000"/>
        </w:rPr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>
      <w:pPr>
        <w:pStyle w:val="16"/>
        <w:ind w:left="1134"/>
        <w:jc w:val="both"/>
      </w:pPr>
      <w:r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организатором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>
      <w:pPr>
        <w:pStyle w:val="16"/>
        <w:ind w:left="1134"/>
        <w:jc w:val="both"/>
      </w:pPr>
      <w:r>
        <w:t>Форма и порядок проведения переторжки, сроки подачи новых предложений, определенные организатором, указываются в письмах, приглашающих участников запроса предложений на процедуру переторжки.</w:t>
      </w:r>
    </w:p>
    <w:p>
      <w:pPr>
        <w:pStyle w:val="16"/>
        <w:ind w:left="1134"/>
        <w:jc w:val="both"/>
      </w:pPr>
      <w:r>
        <w:t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с ранее объявленными условиями.</w:t>
      </w:r>
    </w:p>
    <w:p>
      <w:pPr>
        <w:pStyle w:val="16"/>
        <w:ind w:left="1134"/>
        <w:jc w:val="both"/>
      </w:pPr>
      <w:r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участия в запросе предложений).</w:t>
      </w:r>
    </w:p>
    <w:p>
      <w:pPr>
        <w:pStyle w:val="16"/>
        <w:numPr>
          <w:ilvl w:val="0"/>
          <w:numId w:val="4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>
      <w:pPr>
        <w:pStyle w:val="16"/>
        <w:numPr>
          <w:ilvl w:val="0"/>
          <w:numId w:val="4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>
      <w:pPr>
        <w:pStyle w:val="16"/>
        <w:ind w:left="1134"/>
        <w:jc w:val="both"/>
      </w:pPr>
      <w:r>
        <w:t xml:space="preserve">                 </w:t>
      </w:r>
      <w:r>
        <w:rPr>
          <w:b/>
        </w:rPr>
        <w:t>ВНИМАНИЕ!</w:t>
      </w:r>
      <w:r>
        <w:t xml:space="preserve"> Если, в процессе проведения переторжки, Участники поднимают уровень цены Договора, превышающий первоначальную сумму обеспечения заявки, обозначенную в документации, более, чем на 30%, Организатор оставляет за собой право приостановления переторжки. Возобновление возможно после осуществления Участниками доплаты обеспечения заявки - разницы между достигнутой в ходе переторжки ценой и первоначальной, указанной в конкурсной документации.</w:t>
      </w:r>
    </w:p>
    <w:p>
      <w:pPr>
        <w:jc w:val="both"/>
      </w:pPr>
      <w:r>
        <w:t xml:space="preserve">                 После проведения переторжки победитель определяется в соответствии с                             </w:t>
      </w:r>
    </w:p>
    <w:p>
      <w:pPr>
        <w:jc w:val="both"/>
      </w:pPr>
      <w:r>
        <w:t xml:space="preserve">                 критериями оценки, указанными в настоящих правилах.</w:t>
      </w: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color w:val="000000"/>
        </w:rPr>
      </w:pPr>
      <w:r>
        <w:rPr>
          <w:color w:val="000000"/>
        </w:rPr>
        <w:t>Оценка для договоров аренды, содержащих фиксированную и переменную арендные ставки:</w:t>
      </w:r>
    </w:p>
    <w:p>
      <w:pPr>
        <w:pStyle w:val="16"/>
        <w:tabs>
          <w:tab w:val="left" w:pos="8673"/>
        </w:tabs>
        <w:ind w:left="1080"/>
        <w:contextualSpacing w:val="0"/>
        <w:jc w:val="both"/>
        <w:rPr>
          <w:color w:val="000000"/>
        </w:rPr>
      </w:pPr>
      <w:r>
        <w:rPr>
          <w:color w:val="000000"/>
        </w:rPr>
        <w:tab/>
      </w:r>
    </w:p>
    <w:tbl>
      <w:tblPr>
        <w:tblStyle w:val="13"/>
        <w:tblW w:w="0" w:type="auto"/>
        <w:tblInd w:w="11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center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Фикс. ставка</w:t>
            </w:r>
          </w:p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Участника, руб.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фикс. ставка среди Участников, руб.</w:t>
            </w:r>
          </w:p>
        </w:tc>
        <w:tc>
          <w:tcPr>
            <w:tcW w:w="33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</w:t>
            </w:r>
          </w:p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Участника,%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переменная ставка среди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Участников,%</w:t>
            </w:r>
          </w:p>
        </w:tc>
        <w:tc>
          <w:tcPr>
            <w:tcW w:w="45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</w:tbl>
    <w:p>
      <w:pPr>
        <w:jc w:val="both"/>
      </w:pPr>
    </w:p>
    <w:p>
      <w:pPr>
        <w:pStyle w:val="16"/>
        <w:ind w:left="1134"/>
        <w:jc w:val="both"/>
      </w:pPr>
      <w:r>
        <w:t>Оценка для договоров аренды, содержащих только фиксированную арендную ставку:</w:t>
      </w:r>
    </w:p>
    <w:p>
      <w:pPr>
        <w:pStyle w:val="16"/>
        <w:ind w:left="1134"/>
        <w:jc w:val="both"/>
      </w:pPr>
      <w:r>
        <w:t xml:space="preserve"> </w:t>
      </w:r>
    </w:p>
    <w:tbl>
      <w:tblPr>
        <w:tblStyle w:val="13"/>
        <w:tblW w:w="0" w:type="auto"/>
        <w:tblInd w:w="11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52"/>
        <w:gridCol w:w="1769"/>
        <w:gridCol w:w="336"/>
        <w:gridCol w:w="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  <w:vAlign w:val="center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Фикс.ставка</w:t>
            </w:r>
          </w:p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Участника, руб.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фикс.ставка среди Участников, руб.</w:t>
            </w:r>
          </w:p>
        </w:tc>
        <w:tc>
          <w:tcPr>
            <w:tcW w:w="33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jc w:val="both"/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</w:pPr>
      <w:r>
        <w:rPr>
          <w:color w:val="000000"/>
        </w:rPr>
        <w:t>В случае одинакового количества баллов, набранного участниками по п. 4.6., дополнительно оценивается опыт работы участника -</w:t>
      </w:r>
      <w:r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>
      <w:pPr>
        <w:pStyle w:val="16"/>
        <w:ind w:left="1134"/>
        <w:jc w:val="both"/>
      </w:pPr>
    </w:p>
    <w:tbl>
      <w:tblPr>
        <w:tblStyle w:val="13"/>
        <w:tblW w:w="9001" w:type="dxa"/>
        <w:tblInd w:w="96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1444" w:type="dxa"/>
            <w:vAlign w:val="center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Фикс.ставка Участника, руб.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фикс.ставка среди Участников, руб.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</w:t>
            </w:r>
          </w:p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Участника,%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переменная ставка среди Участников,%</w:t>
            </w:r>
          </w:p>
        </w:tc>
        <w:tc>
          <w:tcPr>
            <w:tcW w:w="32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>
            <w:pPr>
              <w:pStyle w:val="16"/>
              <w:pBdr>
                <w:bottom w:val="single" w:color="auto" w:sz="12" w:space="1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 среди Участников</w:t>
            </w:r>
          </w:p>
          <w:p>
            <w:pPr>
              <w:pStyle w:val="16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16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>
            <w:pPr>
              <w:pStyle w:val="16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</w:tbl>
    <w:p>
      <w:pPr>
        <w:pStyle w:val="16"/>
        <w:ind w:left="1134"/>
        <w:jc w:val="both"/>
      </w:pPr>
    </w:p>
    <w:p>
      <w:pPr>
        <w:pStyle w:val="16"/>
        <w:numPr>
          <w:ilvl w:val="1"/>
          <w:numId w:val="2"/>
        </w:numPr>
        <w:ind w:hanging="654"/>
        <w:contextualSpacing w:val="0"/>
        <w:jc w:val="both"/>
        <w:rPr>
          <w:b/>
          <w:color w:val="000000"/>
        </w:rPr>
      </w:pPr>
      <w:r>
        <w:rPr>
          <w:b/>
          <w:color w:val="000000"/>
        </w:rPr>
        <w:t xml:space="preserve">Итоговая оценка заявки: </w:t>
      </w:r>
    </w:p>
    <w:p>
      <w:pPr>
        <w:pStyle w:val="16"/>
        <w:ind w:left="1080"/>
        <w:contextualSpacing w:val="0"/>
        <w:jc w:val="both"/>
        <w:rPr>
          <w:color w:val="000000"/>
        </w:rPr>
      </w:pPr>
      <w:r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>
      <w:pPr>
        <w:pStyle w:val="16"/>
        <w:ind w:left="1080"/>
        <w:contextualSpacing w:val="0"/>
        <w:jc w:val="both"/>
        <w:rPr>
          <w:color w:val="000000"/>
        </w:rPr>
      </w:pPr>
      <w:r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>
      <w:pPr>
        <w:pStyle w:val="16"/>
        <w:ind w:left="1080"/>
        <w:contextualSpacing w:val="0"/>
        <w:jc w:val="both"/>
        <w:rPr>
          <w:color w:val="000000"/>
        </w:rPr>
      </w:pPr>
      <w:r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>
      <w:pPr>
        <w:pStyle w:val="16"/>
        <w:ind w:left="1080"/>
        <w:contextualSpacing w:val="0"/>
        <w:jc w:val="both"/>
        <w:rPr>
          <w:color w:val="000000"/>
        </w:rPr>
      </w:pPr>
      <w:r>
        <w:rPr>
          <w:color w:val="000000"/>
        </w:rPr>
        <w:t>Победителем признается участник, заявке которого присвоен первый номер.</w:t>
      </w:r>
    </w:p>
    <w:p>
      <w:pPr>
        <w:pStyle w:val="16"/>
        <w:numPr>
          <w:ilvl w:val="1"/>
          <w:numId w:val="2"/>
        </w:numPr>
        <w:ind w:hanging="654"/>
        <w:contextualSpacing w:val="0"/>
        <w:jc w:val="both"/>
      </w:pPr>
      <w:r>
        <w:t>Договор с победителем подписывается не позднее 15 дней с даты опубликования протокола об определении победителя на ЭТП.</w:t>
      </w:r>
    </w:p>
    <w:p>
      <w:pPr>
        <w:jc w:val="both"/>
        <w:rPr>
          <w:b/>
          <w:color w:val="000000"/>
          <w:sz w:val="22"/>
          <w:szCs w:val="22"/>
        </w:rPr>
      </w:pPr>
    </w:p>
    <w:p>
      <w:pPr>
        <w:pStyle w:val="14"/>
        <w:jc w:val="both"/>
        <w:rPr>
          <w:rFonts w:ascii="Times New Roman" w:hAnsi="Times New Roman"/>
          <w:sz w:val="28"/>
          <w:szCs w:val="28"/>
        </w:rPr>
      </w:pPr>
    </w:p>
    <w:sectPr>
      <w:pgSz w:w="11906" w:h="16838"/>
      <w:pgMar w:top="720" w:right="1133" w:bottom="720" w:left="993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C738ED"/>
    <w:multiLevelType w:val="multilevel"/>
    <w:tmpl w:val="09C738E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707FD9"/>
    <w:multiLevelType w:val="multilevel"/>
    <w:tmpl w:val="0F707FD9"/>
    <w:lvl w:ilvl="0" w:tentative="0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">
    <w:nsid w:val="6B8637C8"/>
    <w:multiLevelType w:val="multilevel"/>
    <w:tmpl w:val="6B8637C8"/>
    <w:lvl w:ilvl="0" w:tentative="0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3">
    <w:nsid w:val="7DBC63B3"/>
    <w:multiLevelType w:val="multilevel"/>
    <w:tmpl w:val="7DBC63B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 w:tentative="0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 w:tentative="0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21"/>
    <w:rsid w:val="00011604"/>
    <w:rsid w:val="00017526"/>
    <w:rsid w:val="00026FCE"/>
    <w:rsid w:val="000270C4"/>
    <w:rsid w:val="00033B9D"/>
    <w:rsid w:val="00035238"/>
    <w:rsid w:val="00051DD7"/>
    <w:rsid w:val="00057E66"/>
    <w:rsid w:val="00066B04"/>
    <w:rsid w:val="0007637E"/>
    <w:rsid w:val="000772AC"/>
    <w:rsid w:val="0008749F"/>
    <w:rsid w:val="00094CCD"/>
    <w:rsid w:val="00096318"/>
    <w:rsid w:val="00096F73"/>
    <w:rsid w:val="000A093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2D9C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17A6D"/>
    <w:rsid w:val="003235D9"/>
    <w:rsid w:val="00330348"/>
    <w:rsid w:val="00340B6A"/>
    <w:rsid w:val="003429AE"/>
    <w:rsid w:val="00347160"/>
    <w:rsid w:val="00361FF7"/>
    <w:rsid w:val="00363C7D"/>
    <w:rsid w:val="00390244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1464B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3634"/>
    <w:rsid w:val="005309D2"/>
    <w:rsid w:val="00534420"/>
    <w:rsid w:val="00536170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23D4"/>
    <w:rsid w:val="00663BC7"/>
    <w:rsid w:val="00665DDA"/>
    <w:rsid w:val="00665EBA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65F7"/>
    <w:rsid w:val="006F3B39"/>
    <w:rsid w:val="00700E3D"/>
    <w:rsid w:val="00705F06"/>
    <w:rsid w:val="007066D6"/>
    <w:rsid w:val="0071586E"/>
    <w:rsid w:val="00724FB3"/>
    <w:rsid w:val="0072583C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843B3"/>
    <w:rsid w:val="009901B8"/>
    <w:rsid w:val="009A3DA5"/>
    <w:rsid w:val="009B671D"/>
    <w:rsid w:val="009B704E"/>
    <w:rsid w:val="009E51A2"/>
    <w:rsid w:val="009E595A"/>
    <w:rsid w:val="00A075AA"/>
    <w:rsid w:val="00A41D81"/>
    <w:rsid w:val="00A45A04"/>
    <w:rsid w:val="00A64825"/>
    <w:rsid w:val="00A66AE1"/>
    <w:rsid w:val="00A74D97"/>
    <w:rsid w:val="00A867F4"/>
    <w:rsid w:val="00A92E37"/>
    <w:rsid w:val="00A96DF9"/>
    <w:rsid w:val="00AA17FF"/>
    <w:rsid w:val="00AA6EE6"/>
    <w:rsid w:val="00AA7EC8"/>
    <w:rsid w:val="00AA7FAA"/>
    <w:rsid w:val="00AB0DBB"/>
    <w:rsid w:val="00AB1057"/>
    <w:rsid w:val="00AC55B9"/>
    <w:rsid w:val="00AD6263"/>
    <w:rsid w:val="00AE4577"/>
    <w:rsid w:val="00AF2F51"/>
    <w:rsid w:val="00AF779A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96E16"/>
    <w:rsid w:val="00BA5C90"/>
    <w:rsid w:val="00BB6DB2"/>
    <w:rsid w:val="00BC39A7"/>
    <w:rsid w:val="00BE3E9B"/>
    <w:rsid w:val="00BE503F"/>
    <w:rsid w:val="00BE782D"/>
    <w:rsid w:val="00BF0650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3B4B"/>
    <w:rsid w:val="00C770BB"/>
    <w:rsid w:val="00C92024"/>
    <w:rsid w:val="00C96AB8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5149"/>
    <w:rsid w:val="00D55FF3"/>
    <w:rsid w:val="00D5637C"/>
    <w:rsid w:val="00D6222D"/>
    <w:rsid w:val="00D85226"/>
    <w:rsid w:val="00DB0967"/>
    <w:rsid w:val="00DB532A"/>
    <w:rsid w:val="00DB60B3"/>
    <w:rsid w:val="00DC2133"/>
    <w:rsid w:val="00DC4AF6"/>
    <w:rsid w:val="00DD5549"/>
    <w:rsid w:val="00E01DA5"/>
    <w:rsid w:val="00E11478"/>
    <w:rsid w:val="00E16CA6"/>
    <w:rsid w:val="00E25DA7"/>
    <w:rsid w:val="00E30D7D"/>
    <w:rsid w:val="00E310BF"/>
    <w:rsid w:val="00E364D4"/>
    <w:rsid w:val="00E41845"/>
    <w:rsid w:val="00E437FF"/>
    <w:rsid w:val="00E57080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  <w:rsid w:val="34CB1B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link w:val="20"/>
    <w:qFormat/>
    <w:uiPriority w:val="0"/>
    <w:pPr>
      <w:tabs>
        <w:tab w:val="left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annotation reference"/>
    <w:basedOn w:val="3"/>
    <w:semiHidden/>
    <w:unhideWhenUsed/>
    <w:qFormat/>
    <w:uiPriority w:val="99"/>
    <w:rPr>
      <w:sz w:val="16"/>
      <w:szCs w:val="16"/>
    </w:rPr>
  </w:style>
  <w:style w:type="character" w:styleId="6">
    <w:name w:val="Emphasis"/>
    <w:basedOn w:val="3"/>
    <w:qFormat/>
    <w:uiPriority w:val="20"/>
    <w:rPr>
      <w:i/>
      <w:iCs/>
    </w:rPr>
  </w:style>
  <w:style w:type="character" w:styleId="7">
    <w:name w:val="Hyperlink"/>
    <w:basedOn w:val="3"/>
    <w:unhideWhenUsed/>
    <w:qFormat/>
    <w:uiPriority w:val="99"/>
    <w:rPr>
      <w:color w:val="0000FF"/>
      <w:u w:val="single"/>
    </w:rPr>
  </w:style>
  <w:style w:type="paragraph" w:styleId="8">
    <w:name w:val="Balloon Text"/>
    <w:basedOn w:val="1"/>
    <w:link w:val="15"/>
    <w:qFormat/>
    <w:uiPriority w:val="0"/>
    <w:rPr>
      <w:rFonts w:ascii="Tahoma" w:hAnsi="Tahoma" w:cs="Tahoma"/>
      <w:sz w:val="16"/>
      <w:szCs w:val="16"/>
    </w:rPr>
  </w:style>
  <w:style w:type="paragraph" w:styleId="9">
    <w:name w:val="annotation text"/>
    <w:basedOn w:val="1"/>
    <w:link w:val="17"/>
    <w:unhideWhenUsed/>
    <w:qFormat/>
    <w:uiPriority w:val="99"/>
    <w:rPr>
      <w:sz w:val="20"/>
      <w:szCs w:val="20"/>
    </w:rPr>
  </w:style>
  <w:style w:type="paragraph" w:styleId="10">
    <w:name w:val="annotation subject"/>
    <w:basedOn w:val="9"/>
    <w:next w:val="9"/>
    <w:link w:val="18"/>
    <w:semiHidden/>
    <w:unhideWhenUsed/>
    <w:qFormat/>
    <w:uiPriority w:val="0"/>
    <w:rPr>
      <w:b/>
      <w:bCs/>
    </w:rPr>
  </w:style>
  <w:style w:type="paragraph" w:styleId="11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2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table" w:styleId="13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5">
    <w:name w:val="Текст выноски Знак"/>
    <w:basedOn w:val="3"/>
    <w:link w:val="8"/>
    <w:qFormat/>
    <w:uiPriority w:val="0"/>
    <w:rPr>
      <w:rFonts w:ascii="Tahoma" w:hAnsi="Tahoma" w:cs="Tahoma"/>
      <w:sz w:val="16"/>
      <w:szCs w:val="16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Текст примечания Знак"/>
    <w:basedOn w:val="3"/>
    <w:link w:val="9"/>
    <w:qFormat/>
    <w:uiPriority w:val="99"/>
  </w:style>
  <w:style w:type="character" w:customStyle="1" w:styleId="18">
    <w:name w:val="Тема примечания Знак"/>
    <w:basedOn w:val="17"/>
    <w:link w:val="10"/>
    <w:semiHidden/>
    <w:qFormat/>
    <w:uiPriority w:val="0"/>
    <w:rPr>
      <w:b/>
      <w:bCs/>
    </w:rPr>
  </w:style>
  <w:style w:type="character" w:customStyle="1" w:styleId="19">
    <w:name w:val="apple-converted-space"/>
    <w:basedOn w:val="3"/>
    <w:qFormat/>
    <w:uiPriority w:val="0"/>
  </w:style>
  <w:style w:type="character" w:customStyle="1" w:styleId="20">
    <w:name w:val="Заголовок 7 Знак"/>
    <w:basedOn w:val="3"/>
    <w:link w:val="2"/>
    <w:uiPriority w:val="0"/>
    <w:rPr>
      <w:sz w:val="24"/>
      <w:szCs w:val="24"/>
      <w:lang w:eastAsia="en-US"/>
    </w:rPr>
  </w:style>
  <w:style w:type="table" w:customStyle="1" w:styleId="21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1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1846</Words>
  <Characters>13194</Characters>
  <Lines>109</Lines>
  <Paragraphs>30</Paragraphs>
  <TotalTime>3</TotalTime>
  <ScaleCrop>false</ScaleCrop>
  <LinksUpToDate>false</LinksUpToDate>
  <CharactersWithSpaces>15010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2022-04-02T05:15:00Z</dcterms:created>
  <dc:creator>Суханова Ольга Николаевна</dc:creator>
  <cp:lastModifiedBy>Елизавета</cp:lastModifiedBy>
  <cp:lastPrinted>2022-04-19T08:09:00Z</cp:lastPrinted>
  <dcterms:modified xsi:type="dcterms:W3CDTF">2023-05-10T05:07:47Z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5BA31F5B43784FE0968CBDD4C6909BE4</vt:lpwstr>
  </property>
</Properties>
</file>